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水土保持研究所第八届研究生学术论坛报告日程安排</w:t>
      </w:r>
    </w:p>
    <w:p>
      <w:pPr>
        <w:spacing w:line="300" w:lineRule="auto"/>
        <w:jc w:val="center"/>
        <w:rPr>
          <w:rFonts w:ascii="Times New Roman" w:hAnsi="Times New Roman" w:cs="Times New Roman"/>
          <w:b/>
          <w:bCs/>
          <w:sz w:val="32"/>
          <w:szCs w:val="32"/>
        </w:rPr>
      </w:pPr>
    </w:p>
    <w:tbl>
      <w:tblPr>
        <w:tblStyle w:val="6"/>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76"/>
        <w:gridCol w:w="5852"/>
        <w:gridCol w:w="1082"/>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24" w:hRule="atLeast"/>
        </w:trPr>
        <w:tc>
          <w:tcPr>
            <w:tcW w:w="1418" w:type="dxa"/>
            <w:vAlign w:val="center"/>
          </w:tcPr>
          <w:p>
            <w:pPr>
              <w:jc w:val="center"/>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sz w:val="28"/>
                <w:szCs w:val="28"/>
              </w:rPr>
              <w:t>时间</w:t>
            </w:r>
          </w:p>
        </w:tc>
        <w:tc>
          <w:tcPr>
            <w:tcW w:w="1276" w:type="dxa"/>
            <w:vAlign w:val="center"/>
          </w:tcPr>
          <w:p>
            <w:pPr>
              <w:jc w:val="center"/>
              <w:rPr>
                <w:rFonts w:ascii="Times New Roman" w:hAnsi="Times New Roman" w:eastAsia="仿宋" w:cs="Times New Roman"/>
                <w:b/>
                <w:bCs/>
                <w:color w:val="000000" w:themeColor="text1"/>
                <w:sz w:val="28"/>
                <w:szCs w:val="28"/>
                <w14:textFill>
                  <w14:solidFill>
                    <w14:schemeClr w14:val="tx1"/>
                  </w14:solidFill>
                </w14:textFill>
              </w:rPr>
            </w:pPr>
            <w:r>
              <w:rPr>
                <w:rFonts w:ascii="Times New Roman" w:hAnsi="Times New Roman" w:eastAsia="仿宋" w:cs="Times New Roman"/>
                <w:b/>
                <w:bCs/>
                <w:color w:val="000000" w:themeColor="text1"/>
                <w:sz w:val="28"/>
                <w:szCs w:val="28"/>
                <w14:textFill>
                  <w14:solidFill>
                    <w14:schemeClr w14:val="tx1"/>
                  </w14:solidFill>
                </w14:textFill>
              </w:rPr>
              <w:t>报告</w:t>
            </w:r>
            <w:r>
              <w:rPr>
                <w:rFonts w:hint="eastAsia" w:ascii="Times New Roman" w:hAnsi="Times New Roman" w:eastAsia="仿宋" w:cs="Times New Roman"/>
                <w:b/>
                <w:bCs/>
                <w:color w:val="000000" w:themeColor="text1"/>
                <w:sz w:val="28"/>
                <w:szCs w:val="28"/>
                <w14:textFill>
                  <w14:solidFill>
                    <w14:schemeClr w14:val="tx1"/>
                  </w14:solidFill>
                </w14:textFill>
              </w:rPr>
              <w:t>人</w:t>
            </w:r>
          </w:p>
        </w:tc>
        <w:tc>
          <w:tcPr>
            <w:tcW w:w="5852" w:type="dxa"/>
            <w:vAlign w:val="center"/>
          </w:tcPr>
          <w:p>
            <w:pPr>
              <w:jc w:val="center"/>
              <w:rPr>
                <w:rFonts w:ascii="Times New Roman" w:hAnsi="Times New Roman" w:eastAsia="仿宋" w:cs="Times New Roman"/>
                <w:b/>
                <w:bCs/>
                <w:color w:val="000000" w:themeColor="text1"/>
                <w:sz w:val="28"/>
                <w:szCs w:val="28"/>
                <w14:textFill>
                  <w14:solidFill>
                    <w14:schemeClr w14:val="tx1"/>
                  </w14:solidFill>
                </w14:textFill>
              </w:rPr>
            </w:pPr>
            <w:r>
              <w:rPr>
                <w:rFonts w:ascii="Times New Roman" w:hAnsi="Times New Roman" w:eastAsia="仿宋" w:cs="Times New Roman"/>
                <w:b/>
                <w:bCs/>
                <w:color w:val="000000" w:themeColor="text1"/>
                <w:sz w:val="28"/>
                <w:szCs w:val="28"/>
                <w14:textFill>
                  <w14:solidFill>
                    <w14:schemeClr w14:val="tx1"/>
                  </w14:solidFill>
                </w14:textFill>
              </w:rPr>
              <w:t>报告内容</w:t>
            </w:r>
          </w:p>
        </w:tc>
        <w:tc>
          <w:tcPr>
            <w:tcW w:w="1082" w:type="dxa"/>
            <w:vAlign w:val="center"/>
          </w:tcPr>
          <w:p>
            <w:pPr>
              <w:jc w:val="center"/>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24"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8:40-9:00</w:t>
            </w:r>
          </w:p>
        </w:tc>
        <w:tc>
          <w:tcPr>
            <w:tcW w:w="7128" w:type="dxa"/>
            <w:gridSpan w:val="2"/>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 xml:space="preserve">开幕式     </w:t>
            </w:r>
            <w:r>
              <w:rPr>
                <w:rFonts w:hint="eastAsia" w:ascii="Times New Roman" w:hAnsi="Times New Roman" w:cs="Times New Roman"/>
                <w:color w:val="000000"/>
                <w:kern w:val="0"/>
                <w:sz w:val="24"/>
                <w:lang w:bidi="ar"/>
              </w:rPr>
              <w:t>魏孝荣副所长</w:t>
            </w:r>
            <w:r>
              <w:rPr>
                <w:rFonts w:ascii="Times New Roman" w:hAnsi="Times New Roman" w:cs="Times New Roman"/>
                <w:color w:val="000000"/>
                <w:kern w:val="0"/>
                <w:sz w:val="24"/>
                <w:lang w:bidi="ar"/>
              </w:rPr>
              <w:t>致词</w:t>
            </w:r>
          </w:p>
        </w:tc>
        <w:tc>
          <w:tcPr>
            <w:tcW w:w="1082" w:type="dxa"/>
            <w:vAlign w:val="center"/>
          </w:tcPr>
          <w:p>
            <w:pPr>
              <w:widowControl/>
              <w:jc w:val="center"/>
              <w:textAlignment w:val="center"/>
              <w:rPr>
                <w:rFonts w:ascii="Times New Roman" w:hAnsi="Times New Roman" w:cs="Times New Roman"/>
                <w:color w:val="000000"/>
                <w:kern w:val="0"/>
                <w:sz w:val="24"/>
                <w:lang w:bidi="ar"/>
              </w:rPr>
            </w:pPr>
            <w:r>
              <w:rPr>
                <w:rFonts w:hint="eastAsia" w:ascii="Times New Roman" w:hAnsi="Times New Roman" w:cs="Times New Roman"/>
                <w:color w:val="000000"/>
                <w:kern w:val="0"/>
                <w:sz w:val="24"/>
                <w:lang w:bidi="ar"/>
              </w:rPr>
              <w:t>李红兵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9:00-9:20</w:t>
            </w:r>
          </w:p>
        </w:tc>
        <w:tc>
          <w:tcPr>
            <w:tcW w:w="1276" w:type="dxa"/>
            <w:vAlign w:val="center"/>
          </w:tcPr>
          <w:p>
            <w:pPr>
              <w:widowControl/>
              <w:jc w:val="center"/>
              <w:textAlignment w:val="center"/>
              <w:rPr>
                <w:rFonts w:ascii="Times New Roman" w:hAnsi="Times New Roman" w:cs="Times New Roman"/>
                <w:color w:val="000000"/>
                <w:kern w:val="0"/>
                <w:sz w:val="24"/>
                <w:lang w:bidi="ar"/>
              </w:rPr>
            </w:pPr>
            <w:r>
              <w:rPr>
                <w:rFonts w:hint="eastAsia" w:ascii="Times New Roman" w:hAnsi="Times New Roman" w:cs="Times New Roman"/>
                <w:color w:val="000000"/>
                <w:kern w:val="0"/>
                <w:sz w:val="24"/>
                <w:lang w:bidi="ar"/>
              </w:rPr>
              <w:t>简金世（特邀）</w:t>
            </w:r>
          </w:p>
        </w:tc>
        <w:tc>
          <w:tcPr>
            <w:tcW w:w="5852" w:type="dxa"/>
            <w:vAlign w:val="center"/>
          </w:tcPr>
          <w:p>
            <w:pPr>
              <w:widowControl/>
              <w:jc w:val="center"/>
              <w:textAlignment w:val="center"/>
              <w:rPr>
                <w:rFonts w:ascii="Times New Roman" w:hAnsi="Times New Roman" w:cs="Times New Roman"/>
                <w:sz w:val="24"/>
              </w:rPr>
            </w:pPr>
            <w:r>
              <w:rPr>
                <w:rFonts w:hint="eastAsia" w:ascii="Times New Roman" w:hAnsi="Times New Roman" w:cs="Times New Roman"/>
                <w:sz w:val="24"/>
              </w:rPr>
              <w:t>如何做科研汇报-以土壤健康研究为例</w:t>
            </w:r>
          </w:p>
        </w:tc>
        <w:tc>
          <w:tcPr>
            <w:tcW w:w="1082" w:type="dxa"/>
            <w:vMerge w:val="restart"/>
            <w:vAlign w:val="center"/>
          </w:tcPr>
          <w:p>
            <w:pPr>
              <w:widowControl/>
              <w:jc w:val="center"/>
              <w:textAlignment w:val="center"/>
              <w:rPr>
                <w:rFonts w:ascii="Times New Roman" w:hAnsi="Times New Roman" w:cs="Times New Roman"/>
                <w:sz w:val="24"/>
              </w:rPr>
            </w:pPr>
            <w:r>
              <w:rPr>
                <w:rFonts w:hint="eastAsia" w:ascii="Times New Roman" w:hAnsi="Times New Roman" w:cs="Times New Roman"/>
                <w:sz w:val="24"/>
              </w:rPr>
              <w:t>吉戴婧琪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9:20-9:40</w:t>
            </w:r>
          </w:p>
        </w:tc>
        <w:tc>
          <w:tcPr>
            <w:tcW w:w="1276" w:type="dxa"/>
            <w:vAlign w:val="center"/>
          </w:tcPr>
          <w:p>
            <w:pPr>
              <w:widowControl/>
              <w:jc w:val="center"/>
              <w:textAlignment w:val="center"/>
              <w:rPr>
                <w:rFonts w:ascii="Times New Roman" w:hAnsi="Times New Roman" w:cs="Times New Roman"/>
                <w:sz w:val="24"/>
              </w:rPr>
            </w:pPr>
            <w:r>
              <w:rPr>
                <w:rFonts w:ascii="Times New Roman" w:hAnsi="Times New Roman" w:cs="Times New Roman"/>
                <w:sz w:val="24"/>
              </w:rPr>
              <w:t>孔维波</w:t>
            </w:r>
          </w:p>
        </w:tc>
        <w:tc>
          <w:tcPr>
            <w:tcW w:w="5852" w:type="dxa"/>
            <w:vAlign w:val="center"/>
          </w:tcPr>
          <w:p>
            <w:pPr>
              <w:widowControl/>
              <w:jc w:val="center"/>
              <w:textAlignment w:val="center"/>
              <w:rPr>
                <w:rFonts w:ascii="Times New Roman" w:hAnsi="Times New Roman" w:cs="Times New Roman"/>
                <w:sz w:val="24"/>
              </w:rPr>
            </w:pPr>
            <w:r>
              <w:rPr>
                <w:rFonts w:ascii="Times New Roman" w:hAnsi="Times New Roman" w:cs="Times New Roman"/>
                <w:sz w:val="24"/>
              </w:rPr>
              <w:t>长期施肥对黄土高原旱作农田不同种植模式剖面土壤生物学性质的影响</w:t>
            </w:r>
          </w:p>
        </w:tc>
        <w:tc>
          <w:tcPr>
            <w:tcW w:w="1082" w:type="dxa"/>
            <w:vMerge w:val="continue"/>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9:40-10:00</w:t>
            </w:r>
          </w:p>
        </w:tc>
        <w:tc>
          <w:tcPr>
            <w:tcW w:w="1276"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王祎宸</w:t>
            </w:r>
          </w:p>
        </w:tc>
        <w:tc>
          <w:tcPr>
            <w:tcW w:w="5852"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2001-2020年黄河流域植被物候及其与气候因子的响应</w:t>
            </w:r>
          </w:p>
        </w:tc>
        <w:tc>
          <w:tcPr>
            <w:tcW w:w="1082" w:type="dxa"/>
            <w:vMerge w:val="continue"/>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10:00-10:20</w:t>
            </w:r>
          </w:p>
        </w:tc>
        <w:tc>
          <w:tcPr>
            <w:tcW w:w="1276"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张海龙</w:t>
            </w:r>
          </w:p>
        </w:tc>
        <w:tc>
          <w:tcPr>
            <w:tcW w:w="5852"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间伐通过调节林分结构增加全球森林生态系统碳储量</w:t>
            </w:r>
          </w:p>
        </w:tc>
        <w:tc>
          <w:tcPr>
            <w:tcW w:w="1082" w:type="dxa"/>
            <w:vMerge w:val="continue"/>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10:20-10:40</w:t>
            </w:r>
          </w:p>
        </w:tc>
        <w:tc>
          <w:tcPr>
            <w:tcW w:w="1276" w:type="dxa"/>
            <w:vAlign w:val="center"/>
          </w:tcPr>
          <w:p>
            <w:pPr>
              <w:widowControl/>
              <w:jc w:val="center"/>
              <w:textAlignment w:val="center"/>
              <w:rPr>
                <w:rFonts w:ascii="Times New Roman" w:hAnsi="Times New Roman" w:cs="Times New Roman"/>
                <w:sz w:val="24"/>
              </w:rPr>
            </w:pPr>
            <w:r>
              <w:rPr>
                <w:rFonts w:ascii="Times New Roman" w:hAnsi="Times New Roman" w:cs="Times New Roman"/>
                <w:kern w:val="0"/>
                <w:sz w:val="24"/>
                <w:lang w:bidi="ar"/>
              </w:rPr>
              <w:t>刘玉林</w:t>
            </w:r>
          </w:p>
        </w:tc>
        <w:tc>
          <w:tcPr>
            <w:tcW w:w="5852" w:type="dxa"/>
            <w:vAlign w:val="center"/>
          </w:tcPr>
          <w:p>
            <w:pPr>
              <w:widowControl/>
              <w:tabs>
                <w:tab w:val="left" w:pos="1087"/>
              </w:tabs>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黄土高原植被演替过程中凋落物分解速率与土壤有机碳固存动态</w:t>
            </w:r>
          </w:p>
        </w:tc>
        <w:tc>
          <w:tcPr>
            <w:tcW w:w="1082" w:type="dxa"/>
            <w:vMerge w:val="continue"/>
            <w:vAlign w:val="center"/>
          </w:tcPr>
          <w:p>
            <w:pPr>
              <w:widowControl/>
              <w:tabs>
                <w:tab w:val="left" w:pos="1087"/>
              </w:tabs>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10:40-11:00</w:t>
            </w:r>
          </w:p>
        </w:tc>
        <w:tc>
          <w:tcPr>
            <w:tcW w:w="1276"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kern w:val="0"/>
                <w:sz w:val="24"/>
                <w:lang w:bidi="ar"/>
              </w:rPr>
              <w:t>何琪琳</w:t>
            </w:r>
          </w:p>
        </w:tc>
        <w:tc>
          <w:tcPr>
            <w:tcW w:w="5852"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退耕坡面土壤侵蚀与生态水文效应权衡研究</w:t>
            </w:r>
          </w:p>
        </w:tc>
        <w:tc>
          <w:tcPr>
            <w:tcW w:w="1082" w:type="dxa"/>
            <w:vMerge w:val="continue"/>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11:00-11:20</w:t>
            </w:r>
          </w:p>
        </w:tc>
        <w:tc>
          <w:tcPr>
            <w:tcW w:w="1276" w:type="dxa"/>
            <w:vAlign w:val="center"/>
          </w:tcPr>
          <w:p>
            <w:pPr>
              <w:widowControl/>
              <w:jc w:val="center"/>
              <w:textAlignment w:val="center"/>
              <w:rPr>
                <w:rFonts w:ascii="Times New Roman" w:hAnsi="Times New Roman" w:cs="Times New Roman"/>
                <w:sz w:val="24"/>
              </w:rPr>
            </w:pPr>
            <w:r>
              <w:rPr>
                <w:rFonts w:ascii="Times New Roman" w:hAnsi="Times New Roman" w:cs="Times New Roman"/>
                <w:color w:val="000000"/>
                <w:kern w:val="0"/>
                <w:sz w:val="24"/>
                <w:lang w:bidi="ar"/>
              </w:rPr>
              <w:t>海旭莹</w:t>
            </w:r>
          </w:p>
        </w:tc>
        <w:tc>
          <w:tcPr>
            <w:tcW w:w="5852"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陆地生态系统叶片功能性状对全球变化的响应</w:t>
            </w:r>
          </w:p>
        </w:tc>
        <w:tc>
          <w:tcPr>
            <w:tcW w:w="1082" w:type="dxa"/>
            <w:vMerge w:val="continue"/>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11:20-14:30</w:t>
            </w:r>
          </w:p>
        </w:tc>
        <w:tc>
          <w:tcPr>
            <w:tcW w:w="8221" w:type="dxa"/>
            <w:gridSpan w:val="4"/>
            <w:vAlign w:val="center"/>
          </w:tcPr>
          <w:p>
            <w:pPr>
              <w:jc w:val="center"/>
              <w:rPr>
                <w:rFonts w:ascii="Times New Roman" w:hAnsi="Times New Roman" w:cs="Times New Roman"/>
                <w:b/>
                <w:bCs/>
                <w:sz w:val="24"/>
              </w:rPr>
            </w:pPr>
            <w:r>
              <w:rPr>
                <w:rFonts w:hint="eastAsia" w:ascii="Times New Roman" w:hAnsi="Times New Roman" w:cs="Times New Roman"/>
                <w:b/>
                <w:bCs/>
                <w:sz w:val="24"/>
              </w:rPr>
              <w:t>午餐、午休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14:30-14:50</w:t>
            </w:r>
          </w:p>
        </w:tc>
        <w:tc>
          <w:tcPr>
            <w:tcW w:w="1276"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石经玮</w:t>
            </w:r>
          </w:p>
        </w:tc>
        <w:tc>
          <w:tcPr>
            <w:tcW w:w="5852"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植被恢复下土壤碳流过程</w:t>
            </w:r>
          </w:p>
        </w:tc>
        <w:tc>
          <w:tcPr>
            <w:tcW w:w="1082" w:type="dxa"/>
            <w:vMerge w:val="restart"/>
            <w:vAlign w:val="center"/>
          </w:tcPr>
          <w:p>
            <w:pPr>
              <w:widowControl/>
              <w:textAlignment w:val="center"/>
              <w:rPr>
                <w:rFonts w:ascii="Times New Roman" w:hAnsi="Times New Roman" w:cs="Times New Roman"/>
                <w:sz w:val="24"/>
              </w:rPr>
            </w:pPr>
            <w:r>
              <w:rPr>
                <w:rFonts w:hint="eastAsia" w:ascii="Times New Roman" w:hAnsi="Times New Roman" w:cs="Times New Roman"/>
                <w:sz w:val="24"/>
              </w:rPr>
              <w:t>连贝贝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14:50-15:10</w:t>
            </w:r>
          </w:p>
        </w:tc>
        <w:tc>
          <w:tcPr>
            <w:tcW w:w="1276"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郭</w:t>
            </w:r>
            <w:r>
              <w:rPr>
                <w:rFonts w:hint="eastAsia" w:ascii="Times New Roman" w:hAnsi="Times New Roman" w:cs="Times New Roman"/>
                <w:color w:val="000000"/>
                <w:kern w:val="0"/>
                <w:sz w:val="24"/>
                <w:lang w:bidi="ar"/>
              </w:rPr>
              <w:t xml:space="preserve"> </w:t>
            </w:r>
            <w:r>
              <w:rPr>
                <w:rFonts w:ascii="Times New Roman" w:hAnsi="Times New Roman" w:cs="Times New Roman"/>
                <w:color w:val="000000"/>
                <w:kern w:val="0"/>
                <w:sz w:val="24"/>
                <w:lang w:bidi="ar"/>
              </w:rPr>
              <w:t xml:space="preserve"> 琪</w:t>
            </w:r>
          </w:p>
        </w:tc>
        <w:tc>
          <w:tcPr>
            <w:tcW w:w="5852"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Plot-based study to evaluate raindrop detachment capacity on moss-dominated biocrusted slope.</w:t>
            </w:r>
          </w:p>
        </w:tc>
        <w:tc>
          <w:tcPr>
            <w:tcW w:w="1082" w:type="dxa"/>
            <w:vMerge w:val="continue"/>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15:10-15:30</w:t>
            </w:r>
          </w:p>
        </w:tc>
        <w:tc>
          <w:tcPr>
            <w:tcW w:w="1276"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汪晓珍</w:t>
            </w:r>
          </w:p>
        </w:tc>
        <w:tc>
          <w:tcPr>
            <w:tcW w:w="5852"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黄土高原生态系统服务现状及未来趋势研究</w:t>
            </w:r>
          </w:p>
        </w:tc>
        <w:tc>
          <w:tcPr>
            <w:tcW w:w="1082" w:type="dxa"/>
            <w:vMerge w:val="continue"/>
            <w:vAlign w:val="center"/>
          </w:tcPr>
          <w:p>
            <w:pPr>
              <w:widowControl/>
              <w:jc w:val="center"/>
              <w:textAlignment w:val="center"/>
              <w:rPr>
                <w:rFonts w:ascii="Times New Roman" w:hAnsi="Times New Roman" w:cs="Times New Roman"/>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15:30-15:50</w:t>
            </w:r>
          </w:p>
        </w:tc>
        <w:tc>
          <w:tcPr>
            <w:tcW w:w="1276"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廖</w:t>
            </w:r>
            <w:r>
              <w:rPr>
                <w:rFonts w:hint="eastAsia" w:ascii="Times New Roman" w:hAnsi="Times New Roman" w:cs="Times New Roman"/>
                <w:sz w:val="24"/>
              </w:rPr>
              <w:t xml:space="preserve"> </w:t>
            </w:r>
            <w:r>
              <w:rPr>
                <w:rFonts w:ascii="Times New Roman" w:hAnsi="Times New Roman" w:cs="Times New Roman"/>
                <w:sz w:val="24"/>
              </w:rPr>
              <w:t xml:space="preserve"> 阳</w:t>
            </w:r>
          </w:p>
        </w:tc>
        <w:tc>
          <w:tcPr>
            <w:tcW w:w="5852"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土壤入渗对土地利用变化和农业管理措施的响应</w:t>
            </w:r>
          </w:p>
        </w:tc>
        <w:tc>
          <w:tcPr>
            <w:tcW w:w="1082" w:type="dxa"/>
            <w:vMerge w:val="continue"/>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15:50-16:10</w:t>
            </w:r>
          </w:p>
        </w:tc>
        <w:tc>
          <w:tcPr>
            <w:tcW w:w="1276" w:type="dxa"/>
            <w:vAlign w:val="center"/>
          </w:tcPr>
          <w:p>
            <w:pPr>
              <w:widowControl/>
              <w:jc w:val="center"/>
              <w:textAlignment w:val="center"/>
              <w:rPr>
                <w:rFonts w:ascii="Times New Roman" w:hAnsi="Times New Roman" w:cs="Times New Roman"/>
                <w:sz w:val="24"/>
              </w:rPr>
            </w:pPr>
            <w:r>
              <w:rPr>
                <w:rFonts w:ascii="Times New Roman" w:hAnsi="Times New Roman" w:cs="Times New Roman"/>
                <w:sz w:val="24"/>
              </w:rPr>
              <w:t>易海杰</w:t>
            </w:r>
          </w:p>
        </w:tc>
        <w:tc>
          <w:tcPr>
            <w:tcW w:w="5852"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黄土高原北洛河流域未来土地利用/覆被变化及其对径流的影响</w:t>
            </w:r>
          </w:p>
        </w:tc>
        <w:tc>
          <w:tcPr>
            <w:tcW w:w="1082" w:type="dxa"/>
            <w:vMerge w:val="continue"/>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737"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16:10-16:30</w:t>
            </w:r>
          </w:p>
        </w:tc>
        <w:tc>
          <w:tcPr>
            <w:tcW w:w="1276"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王</w:t>
            </w:r>
            <w:r>
              <w:rPr>
                <w:rFonts w:hint="eastAsia" w:ascii="Times New Roman" w:hAnsi="Times New Roman" w:cs="Times New Roman"/>
                <w:color w:val="000000"/>
                <w:kern w:val="0"/>
                <w:sz w:val="24"/>
                <w:lang w:bidi="ar"/>
              </w:rPr>
              <w:t xml:space="preserve"> </w:t>
            </w:r>
            <w:r>
              <w:rPr>
                <w:rFonts w:ascii="Times New Roman" w:hAnsi="Times New Roman" w:cs="Times New Roman"/>
                <w:color w:val="000000"/>
                <w:kern w:val="0"/>
                <w:sz w:val="24"/>
                <w:lang w:bidi="ar"/>
              </w:rPr>
              <w:t xml:space="preserve"> 伟</w:t>
            </w:r>
          </w:p>
        </w:tc>
        <w:tc>
          <w:tcPr>
            <w:tcW w:w="5852" w:type="dxa"/>
            <w:vAlign w:val="center"/>
          </w:tcPr>
          <w:p>
            <w:pPr>
              <w:widowControl/>
              <w:jc w:val="center"/>
              <w:textAlignment w:val="center"/>
              <w:rPr>
                <w:rFonts w:ascii="Times New Roman" w:hAnsi="Times New Roman" w:cs="Times New Roman"/>
                <w:color w:val="000000"/>
                <w:kern w:val="0"/>
                <w:sz w:val="24"/>
                <w:lang w:bidi="ar"/>
              </w:rPr>
            </w:pPr>
            <w:r>
              <w:rPr>
                <w:rFonts w:ascii="Times New Roman" w:hAnsi="Times New Roman" w:cs="Times New Roman"/>
                <w:sz w:val="24"/>
              </w:rPr>
              <w:t>实体水调运和虚拟水流动过程伴生水资源、环境和经济效应</w:t>
            </w:r>
          </w:p>
        </w:tc>
        <w:tc>
          <w:tcPr>
            <w:tcW w:w="1082" w:type="dxa"/>
            <w:vMerge w:val="continue"/>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24" w:hRule="atLeast"/>
        </w:trPr>
        <w:tc>
          <w:tcPr>
            <w:tcW w:w="1418" w:type="dxa"/>
            <w:vAlign w:val="center"/>
          </w:tcPr>
          <w:p>
            <w:pPr>
              <w:jc w:val="center"/>
              <w:rPr>
                <w:rFonts w:ascii="Times New Roman" w:hAnsi="Times New Roman" w:cs="Times New Roman"/>
                <w:b/>
                <w:bCs/>
                <w:sz w:val="24"/>
              </w:rPr>
            </w:pPr>
            <w:r>
              <w:rPr>
                <w:rFonts w:ascii="Times New Roman" w:hAnsi="Times New Roman" w:cs="Times New Roman"/>
                <w:b/>
                <w:bCs/>
                <w:sz w:val="24"/>
              </w:rPr>
              <w:t>16:30-16:50</w:t>
            </w:r>
          </w:p>
        </w:tc>
        <w:tc>
          <w:tcPr>
            <w:tcW w:w="1276" w:type="dxa"/>
            <w:tcBorders>
              <w:right w:val="nil"/>
            </w:tcBorders>
            <w:vAlign w:val="center"/>
          </w:tcPr>
          <w:p>
            <w:pPr>
              <w:jc w:val="center"/>
              <w:rPr>
                <w:rFonts w:ascii="Times New Roman" w:hAnsi="Times New Roman" w:cs="Times New Roman"/>
                <w:b/>
                <w:bCs/>
                <w:sz w:val="24"/>
              </w:rPr>
            </w:pPr>
          </w:p>
        </w:tc>
        <w:tc>
          <w:tcPr>
            <w:tcW w:w="6934" w:type="dxa"/>
            <w:gridSpan w:val="2"/>
            <w:tcBorders>
              <w:left w:val="nil"/>
            </w:tcBorders>
            <w:vAlign w:val="center"/>
          </w:tcPr>
          <w:p>
            <w:pPr>
              <w:jc w:val="center"/>
              <w:rPr>
                <w:rFonts w:ascii="Times New Roman" w:hAnsi="Times New Roman" w:cs="Times New Roman"/>
                <w:b/>
                <w:bCs/>
                <w:sz w:val="24"/>
              </w:rPr>
            </w:pPr>
            <w:r>
              <w:rPr>
                <w:rFonts w:ascii="Times New Roman" w:hAnsi="Times New Roman" w:cs="Times New Roman"/>
                <w:b/>
                <w:bCs/>
                <w:sz w:val="24"/>
              </w:rPr>
              <w:t>颁 奖</w:t>
            </w:r>
          </w:p>
        </w:tc>
      </w:tr>
    </w:tbl>
    <w:p>
      <w:pPr>
        <w:rPr>
          <w:b/>
          <w:sz w:val="28"/>
          <w:szCs w:val="28"/>
        </w:rPr>
      </w:pPr>
    </w:p>
    <w:sectPr>
      <w:pgSz w:w="11906" w:h="16838"/>
      <w:pgMar w:top="760" w:right="1123" w:bottom="760" w:left="112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hkNzg1MzAwN2IyMDA4NWY3MjRhMzI4OWQzZTQ3ZDIifQ=="/>
  </w:docVars>
  <w:rsids>
    <w:rsidRoot w:val="00347304"/>
    <w:rsid w:val="00010B0D"/>
    <w:rsid w:val="0003322A"/>
    <w:rsid w:val="00067B4F"/>
    <w:rsid w:val="0007582F"/>
    <w:rsid w:val="000D6BF6"/>
    <w:rsid w:val="000F31B7"/>
    <w:rsid w:val="00165CA4"/>
    <w:rsid w:val="00175D82"/>
    <w:rsid w:val="00190397"/>
    <w:rsid w:val="0020319C"/>
    <w:rsid w:val="00210F9B"/>
    <w:rsid w:val="00216400"/>
    <w:rsid w:val="003341B0"/>
    <w:rsid w:val="00347304"/>
    <w:rsid w:val="004E67B8"/>
    <w:rsid w:val="004F4C56"/>
    <w:rsid w:val="00565EB9"/>
    <w:rsid w:val="00594639"/>
    <w:rsid w:val="005A1AF5"/>
    <w:rsid w:val="005C51CA"/>
    <w:rsid w:val="005C6235"/>
    <w:rsid w:val="006070A7"/>
    <w:rsid w:val="0063084D"/>
    <w:rsid w:val="00634632"/>
    <w:rsid w:val="00640440"/>
    <w:rsid w:val="0068691B"/>
    <w:rsid w:val="006A7017"/>
    <w:rsid w:val="006D0D20"/>
    <w:rsid w:val="006E724B"/>
    <w:rsid w:val="0074079A"/>
    <w:rsid w:val="00781881"/>
    <w:rsid w:val="007B2ECB"/>
    <w:rsid w:val="007C3450"/>
    <w:rsid w:val="00865F85"/>
    <w:rsid w:val="008D6476"/>
    <w:rsid w:val="008F0AFB"/>
    <w:rsid w:val="009228CA"/>
    <w:rsid w:val="00970802"/>
    <w:rsid w:val="00991DCC"/>
    <w:rsid w:val="009E2B2A"/>
    <w:rsid w:val="00AC103E"/>
    <w:rsid w:val="00AC6EE0"/>
    <w:rsid w:val="00B626BA"/>
    <w:rsid w:val="00B77057"/>
    <w:rsid w:val="00B85CAD"/>
    <w:rsid w:val="00C425B1"/>
    <w:rsid w:val="00C57FBB"/>
    <w:rsid w:val="00C759D6"/>
    <w:rsid w:val="00D04F48"/>
    <w:rsid w:val="00D0791E"/>
    <w:rsid w:val="00D91C60"/>
    <w:rsid w:val="00E16747"/>
    <w:rsid w:val="00E646A2"/>
    <w:rsid w:val="00E7567F"/>
    <w:rsid w:val="00ED7A85"/>
    <w:rsid w:val="00ED7B9A"/>
    <w:rsid w:val="00F741EF"/>
    <w:rsid w:val="00F85474"/>
    <w:rsid w:val="00F946C9"/>
    <w:rsid w:val="07026E07"/>
    <w:rsid w:val="158346B4"/>
    <w:rsid w:val="18D94D16"/>
    <w:rsid w:val="246F4781"/>
    <w:rsid w:val="67E8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 w:type="character" w:customStyle="1" w:styleId="10">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393</Words>
  <Characters>626</Characters>
  <Lines>5</Lines>
  <Paragraphs>1</Paragraphs>
  <TotalTime>21</TotalTime>
  <ScaleCrop>false</ScaleCrop>
  <LinksUpToDate>false</LinksUpToDate>
  <CharactersWithSpaces>648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2023-06-13T02:03:00Z</dcterms:created>
  <dc:creator>Lenovo</dc:creator>
  <cp:lastModifiedBy>柠檬不萌</cp:lastModifiedBy>
  <cp:lastPrinted>2021-06-17T23:13:00Z</cp:lastPrinted>
  <dcterms:modified xsi:type="dcterms:W3CDTF">2023-06-13T03:30:08Z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04F2A7BD75D54E30AE2A5DC3E73C74EA_13</vt:lpwstr>
  </property>
</Properties>
</file>